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FEC0" w14:textId="31BCB40B" w:rsidR="00BD68CE" w:rsidRDefault="00BD68CE" w:rsidP="00BD68CE">
      <w:pPr>
        <w:rPr>
          <w:rFonts w:ascii="黑体" w:eastAsia="黑体" w:hAnsi="黑体" w:cs="黑体" w:hint="eastAsia"/>
          <w:bCs/>
          <w:color w:val="000000"/>
          <w:szCs w:val="32"/>
        </w:rPr>
      </w:pPr>
    </w:p>
    <w:p w14:paraId="647BD1E2" w14:textId="77777777" w:rsidR="00BD68CE" w:rsidRDefault="00BD68CE" w:rsidP="00BD68CE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中国新闻奖新闻期刊参评作品推荐表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3943"/>
        <w:gridCol w:w="1276"/>
        <w:gridCol w:w="3866"/>
      </w:tblGrid>
      <w:tr w:rsidR="00BD68CE" w14:paraId="33BACAE0" w14:textId="77777777" w:rsidTr="00BD68CE">
        <w:trPr>
          <w:cantSplit/>
          <w:trHeight w:hRule="exact" w:val="738"/>
          <w:jc w:val="center"/>
        </w:trPr>
        <w:tc>
          <w:tcPr>
            <w:tcW w:w="1313" w:type="dxa"/>
            <w:vMerge w:val="restart"/>
            <w:vAlign w:val="center"/>
          </w:tcPr>
          <w:p w14:paraId="213ED08F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 w14:paraId="01D3BAB8" w14:textId="729B0DC2" w:rsidR="00BD68CE" w:rsidRPr="002C5F3A" w:rsidRDefault="00FD6434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767B33">
              <w:rPr>
                <w:rFonts w:ascii="仿宋_GB2312" w:hAnsi="仿宋" w:cs="仿宋" w:hint="eastAsia"/>
                <w:snapToGrid w:val="0"/>
                <w:color w:val="000000"/>
                <w:spacing w:val="27"/>
                <w:kern w:val="0"/>
                <w:sz w:val="24"/>
                <w:szCs w:val="24"/>
              </w:rPr>
              <w:t>织出一片锦绣</w:t>
            </w:r>
          </w:p>
        </w:tc>
        <w:tc>
          <w:tcPr>
            <w:tcW w:w="1276" w:type="dxa"/>
            <w:vAlign w:val="center"/>
          </w:tcPr>
          <w:p w14:paraId="32AEE43C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 w14:paraId="7A769EE6" w14:textId="7F70E390" w:rsidR="00BD68CE" w:rsidRPr="00D97E75" w:rsidRDefault="00FD6434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312FA8">
              <w:rPr>
                <w:rFonts w:ascii="仿宋_GB2312" w:hAnsi="仿宋" w:cs="仿宋" w:hint="eastAsia"/>
                <w:snapToGrid w:val="0"/>
                <w:color w:val="000000"/>
                <w:spacing w:val="27"/>
                <w:kern w:val="0"/>
                <w:sz w:val="24"/>
                <w:szCs w:val="24"/>
              </w:rPr>
              <w:t>典型报道</w:t>
            </w:r>
          </w:p>
        </w:tc>
      </w:tr>
      <w:tr w:rsidR="00BD68CE" w14:paraId="3A08B48E" w14:textId="77777777" w:rsidTr="002C792F">
        <w:trPr>
          <w:cantSplit/>
          <w:trHeight w:hRule="exact" w:val="698"/>
          <w:jc w:val="center"/>
        </w:trPr>
        <w:tc>
          <w:tcPr>
            <w:tcW w:w="1313" w:type="dxa"/>
            <w:vMerge/>
            <w:vAlign w:val="center"/>
          </w:tcPr>
          <w:p w14:paraId="2005CDD1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14:paraId="19B5879F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0972E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 w14:paraId="5154B74C" w14:textId="2DDA4191" w:rsidR="00BD68CE" w:rsidRPr="00D97E75" w:rsidRDefault="00FD6434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312FA8">
              <w:rPr>
                <w:rFonts w:ascii="仿宋_GB2312" w:hAnsi="仿宋" w:hint="eastAsia"/>
                <w:color w:val="000000"/>
                <w:sz w:val="24"/>
                <w:szCs w:val="24"/>
              </w:rPr>
              <w:t>通讯</w:t>
            </w:r>
          </w:p>
        </w:tc>
      </w:tr>
      <w:tr w:rsidR="00BD68CE" w14:paraId="498DFE3A" w14:textId="77777777" w:rsidTr="002C792F">
        <w:trPr>
          <w:cantSplit/>
          <w:trHeight w:hRule="exact" w:val="694"/>
          <w:jc w:val="center"/>
        </w:trPr>
        <w:tc>
          <w:tcPr>
            <w:tcW w:w="1313" w:type="dxa"/>
            <w:vMerge/>
            <w:vAlign w:val="center"/>
          </w:tcPr>
          <w:p w14:paraId="7B036C2C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14:paraId="4D59C3DA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B6362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 w14:paraId="3AE04A45" w14:textId="6C80B108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44D56" w14:paraId="4A383645" w14:textId="77777777" w:rsidTr="002C792F">
        <w:trPr>
          <w:trHeight w:val="667"/>
          <w:jc w:val="center"/>
        </w:trPr>
        <w:tc>
          <w:tcPr>
            <w:tcW w:w="1313" w:type="dxa"/>
            <w:vAlign w:val="center"/>
          </w:tcPr>
          <w:p w14:paraId="675EC3A5" w14:textId="77777777" w:rsidR="00A44D56" w:rsidRDefault="00A44D56" w:rsidP="00A44D56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-12"/>
                <w:sz w:val="24"/>
                <w:szCs w:val="24"/>
              </w:rPr>
              <w:t>作  者</w:t>
            </w:r>
          </w:p>
          <w:p w14:paraId="39848335" w14:textId="77777777" w:rsidR="00A44D56" w:rsidRPr="00BD68CE" w:rsidRDefault="00A44D56" w:rsidP="00A44D56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18"/>
                <w:szCs w:val="18"/>
              </w:rPr>
            </w:pPr>
            <w:r w:rsidRPr="00BD68CE">
              <w:rPr>
                <w:rFonts w:ascii="华文中宋" w:eastAsia="华文中宋" w:hAnsi="华文中宋" w:cs="华文中宋" w:hint="eastAsia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 w14:paraId="2BAA622B" w14:textId="2176AED0" w:rsidR="00A44D56" w:rsidRPr="00D97E75" w:rsidRDefault="00FD6434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snapToGrid w:val="0"/>
                <w:color w:val="000000"/>
                <w:spacing w:val="6"/>
                <w:kern w:val="0"/>
                <w:sz w:val="24"/>
                <w:szCs w:val="24"/>
              </w:rPr>
              <w:t>刘慧娴</w:t>
            </w:r>
          </w:p>
        </w:tc>
        <w:tc>
          <w:tcPr>
            <w:tcW w:w="1276" w:type="dxa"/>
            <w:vAlign w:val="center"/>
          </w:tcPr>
          <w:p w14:paraId="4284E443" w14:textId="77777777" w:rsidR="00A44D56" w:rsidRDefault="00A44D56" w:rsidP="00A44D56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 w14:paraId="7F35B39B" w14:textId="75379204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44D56" w14:paraId="484F528E" w14:textId="77777777" w:rsidTr="002C792F">
        <w:trPr>
          <w:cantSplit/>
          <w:trHeight w:val="788"/>
          <w:jc w:val="center"/>
        </w:trPr>
        <w:tc>
          <w:tcPr>
            <w:tcW w:w="1313" w:type="dxa"/>
            <w:vAlign w:val="center"/>
          </w:tcPr>
          <w:p w14:paraId="6986E3BC" w14:textId="77777777" w:rsidR="00A44D56" w:rsidRDefault="00A44D56" w:rsidP="00A44D56">
            <w:pPr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 w14:paraId="76DB87FF" w14:textId="0BD61285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25B47">
              <w:rPr>
                <w:rFonts w:ascii="仿宋_GB2312" w:hAnsi="仿宋" w:cs="宋体" w:hint="eastAsia"/>
                <w:sz w:val="24"/>
                <w:szCs w:val="24"/>
              </w:rPr>
              <w:t>中国财政杂志社</w:t>
            </w:r>
          </w:p>
        </w:tc>
        <w:tc>
          <w:tcPr>
            <w:tcW w:w="1276" w:type="dxa"/>
            <w:vAlign w:val="center"/>
          </w:tcPr>
          <w:p w14:paraId="5EFD46A2" w14:textId="77777777" w:rsidR="00A44D56" w:rsidRDefault="00A44D56" w:rsidP="00A44D56"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 w14:paraId="358B9E94" w14:textId="27019D29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25B47">
              <w:rPr>
                <w:rFonts w:ascii="仿宋_GB2312" w:hAnsi="仿宋" w:cs="宋体" w:hint="eastAsia"/>
                <w:sz w:val="24"/>
                <w:szCs w:val="24"/>
              </w:rPr>
              <w:t>中国财政杂志社</w:t>
            </w:r>
          </w:p>
        </w:tc>
      </w:tr>
      <w:tr w:rsidR="00A44D56" w14:paraId="29E6B4A0" w14:textId="77777777" w:rsidTr="002C792F">
        <w:trPr>
          <w:cantSplit/>
          <w:trHeight w:hRule="exact" w:val="1109"/>
          <w:jc w:val="center"/>
        </w:trPr>
        <w:tc>
          <w:tcPr>
            <w:tcW w:w="1313" w:type="dxa"/>
            <w:vAlign w:val="center"/>
          </w:tcPr>
          <w:p w14:paraId="261EF3AB" w14:textId="77777777" w:rsidR="00A44D56" w:rsidRDefault="00A44D56" w:rsidP="00A44D56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 w14:paraId="0C76B80C" w14:textId="7A108C6C" w:rsidR="00A44D56" w:rsidRPr="00D97E75" w:rsidRDefault="00FD6434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312FA8">
              <w:rPr>
                <w:rFonts w:ascii="仿宋_GB2312" w:hAnsi="仿宋" w:cs="仿宋" w:hint="eastAsia"/>
                <w:snapToGrid w:val="0"/>
                <w:color w:val="000000"/>
                <w:spacing w:val="27"/>
                <w:kern w:val="0"/>
                <w:sz w:val="24"/>
                <w:szCs w:val="24"/>
              </w:rPr>
              <w:t>《中国财政》202</w:t>
            </w:r>
            <w:r>
              <w:rPr>
                <w:rFonts w:ascii="仿宋_GB2312" w:hAnsi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>3</w:t>
            </w:r>
            <w:r w:rsidRPr="00312FA8">
              <w:rPr>
                <w:rFonts w:ascii="仿宋_GB2312" w:hAnsi="仿宋" w:cs="仿宋" w:hint="eastAsia"/>
                <w:snapToGrid w:val="0"/>
                <w:color w:val="000000"/>
                <w:spacing w:val="27"/>
                <w:kern w:val="0"/>
                <w:sz w:val="24"/>
                <w:szCs w:val="24"/>
              </w:rPr>
              <w:t>年第</w:t>
            </w:r>
            <w:r>
              <w:rPr>
                <w:rFonts w:ascii="仿宋_GB2312" w:hAnsi="仿宋" w:cs="仿宋" w:hint="eastAsia"/>
                <w:snapToGrid w:val="0"/>
                <w:color w:val="000000"/>
                <w:spacing w:val="27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>4</w:t>
            </w:r>
            <w:r w:rsidRPr="00312FA8">
              <w:rPr>
                <w:rFonts w:ascii="仿宋_GB2312" w:hAnsi="仿宋" w:cs="仿宋" w:hint="eastAsia"/>
                <w:snapToGrid w:val="0"/>
                <w:color w:val="000000"/>
                <w:spacing w:val="27"/>
                <w:kern w:val="0"/>
                <w:sz w:val="24"/>
                <w:szCs w:val="24"/>
              </w:rPr>
              <w:t>期</w:t>
            </w:r>
          </w:p>
        </w:tc>
        <w:tc>
          <w:tcPr>
            <w:tcW w:w="1276" w:type="dxa"/>
            <w:vAlign w:val="center"/>
          </w:tcPr>
          <w:p w14:paraId="417F5E6E" w14:textId="77777777" w:rsidR="00A44D56" w:rsidRDefault="00A44D56" w:rsidP="00A44D56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 w14:paraId="6587E846" w14:textId="054126ED" w:rsidR="00A44D56" w:rsidRDefault="00927B19" w:rsidP="00A44D56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_GB2312" w:eastAsia="仿宋" w:hAnsi="仿宋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eastAsia="仿宋" w:hAnsi="仿宋"/>
                <w:color w:val="000000"/>
                <w:sz w:val="21"/>
                <w:szCs w:val="21"/>
              </w:rPr>
              <w:t>023</w:t>
            </w:r>
            <w:r>
              <w:rPr>
                <w:rFonts w:ascii="仿宋_GB2312" w:eastAsia="仿宋" w:hAnsi="仿宋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仿宋_GB2312" w:eastAsia="仿宋" w:hAnsi="仿宋"/>
                <w:color w:val="000000"/>
                <w:sz w:val="21"/>
                <w:szCs w:val="21"/>
              </w:rPr>
              <w:t>07-25</w:t>
            </w:r>
          </w:p>
        </w:tc>
      </w:tr>
      <w:tr w:rsidR="00A44D56" w14:paraId="64957017" w14:textId="77777777" w:rsidTr="002C792F">
        <w:trPr>
          <w:cantSplit/>
          <w:trHeight w:hRule="exact" w:val="855"/>
          <w:jc w:val="center"/>
        </w:trPr>
        <w:tc>
          <w:tcPr>
            <w:tcW w:w="1313" w:type="dxa"/>
            <w:vAlign w:val="center"/>
          </w:tcPr>
          <w:p w14:paraId="12AC26E2" w14:textId="77777777" w:rsidR="00A44D56" w:rsidRDefault="00A44D56" w:rsidP="00A44D56"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 w14:paraId="715C6DE3" w14:textId="77777777" w:rsidR="00A44D56" w:rsidRDefault="00A44D56" w:rsidP="00A44D56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F089BE" w14:textId="77777777" w:rsidR="00A44D56" w:rsidRDefault="00A44D56" w:rsidP="00A44D56">
            <w:pPr>
              <w:spacing w:line="260" w:lineRule="exact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 w14:paraId="03E0DD46" w14:textId="1B067753" w:rsidR="00A44D56" w:rsidRPr="004D61A1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FD6434" w14:paraId="33D1E669" w14:textId="77777777" w:rsidTr="008F4798">
        <w:trPr>
          <w:cantSplit/>
          <w:trHeight w:val="2217"/>
          <w:jc w:val="center"/>
        </w:trPr>
        <w:tc>
          <w:tcPr>
            <w:tcW w:w="1313" w:type="dxa"/>
            <w:vAlign w:val="center"/>
          </w:tcPr>
          <w:p w14:paraId="53FA12E3" w14:textId="77777777" w:rsidR="00FD6434" w:rsidRDefault="00FD6434" w:rsidP="00FD6434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3BB378A4" w14:textId="77777777" w:rsidR="00FD6434" w:rsidRDefault="00FD6434" w:rsidP="00FD6434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作采</w:t>
            </w:r>
          </w:p>
          <w:p w14:paraId="6F27EDD0" w14:textId="77777777" w:rsidR="00FD6434" w:rsidRDefault="00FD6434" w:rsidP="00FD6434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品编</w:t>
            </w:r>
          </w:p>
          <w:p w14:paraId="69DB3447" w14:textId="77777777" w:rsidR="00FD6434" w:rsidRDefault="00FD6434" w:rsidP="00FD6434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简过</w:t>
            </w:r>
          </w:p>
          <w:p w14:paraId="19718167" w14:textId="77777777" w:rsidR="00FD6434" w:rsidRDefault="00FD6434" w:rsidP="00FD6434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程</w:t>
            </w:r>
          </w:p>
          <w:p w14:paraId="327E1EB1" w14:textId="77777777" w:rsidR="00FD6434" w:rsidRDefault="00FD6434" w:rsidP="00FD6434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 w14:paraId="709589BC" w14:textId="31EE9D7E" w:rsidR="00FD6434" w:rsidRDefault="00FD6434" w:rsidP="00FD6434">
            <w:pPr>
              <w:spacing w:line="240" w:lineRule="exact"/>
              <w:ind w:firstLineChars="200" w:firstLine="420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 w:rsidRPr="00D85E5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习近平总书记指出：“乡村振兴要在产业生态化和生态产业化上下功夫，继续做</w:t>
            </w:r>
            <w:proofErr w:type="gramStart"/>
            <w:r w:rsidRPr="00D85E5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强做</w:t>
            </w:r>
            <w:proofErr w:type="gramEnd"/>
            <w:r w:rsidRPr="00D85E5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大有机农产品生产、乡村旅游、休闲农业等产业，搞好非物质文化遗产传承，推动巩固拓展脱贫攻坚成果同乡村全面振兴有效衔接。”</w:t>
            </w:r>
            <w:r w:rsidRPr="00080BAC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全国人大代表、河北省赞皇县原村土布专业合作社理事长崔雪琴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致力于</w:t>
            </w:r>
            <w:r w:rsidRPr="00080BAC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传承和弘扬原村土布纺织技艺，帮助1300多名村民脱贫致富，织出了锦绣生活。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《中国财政》积极服务全国两会代表委员，宣传展现代表委员风采，讲好他们的履职故事。202</w:t>
            </w:r>
            <w:r>
              <w:rPr>
                <w:rFonts w:ascii="仿宋_GB2312" w:hAnsi="仿宋" w:cs="仿宋"/>
                <w:snapToGrid w:val="0"/>
                <w:color w:val="000000"/>
                <w:kern w:val="0"/>
                <w:sz w:val="21"/>
                <w:szCs w:val="21"/>
              </w:rPr>
              <w:t>3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年记者赴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河北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对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崔雪琴代表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进行采访，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记述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她</w:t>
            </w:r>
            <w:r w:rsidRPr="00080BAC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传承和弘扬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非遗文化，带领村民</w:t>
            </w:r>
            <w:r w:rsidRPr="00080BAC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脱贫致富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的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感人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故事，并报道了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她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作为全国人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大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代表，积极为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推进乡村全面振兴</w:t>
            </w:r>
            <w:r w:rsidRPr="0062314B">
              <w:rPr>
                <w:rFonts w:ascii="仿宋_GB2312" w:hAnsi="仿宋" w:cs="仿宋" w:hint="eastAsia"/>
                <w:snapToGrid w:val="0"/>
                <w:color w:val="000000"/>
                <w:kern w:val="0"/>
                <w:sz w:val="21"/>
                <w:szCs w:val="21"/>
              </w:rPr>
              <w:t>呼吁，履职尽责的典型事迹。</w:t>
            </w:r>
          </w:p>
        </w:tc>
      </w:tr>
      <w:tr w:rsidR="00FD6434" w14:paraId="2B46FE89" w14:textId="77777777" w:rsidTr="008F4798">
        <w:trPr>
          <w:cantSplit/>
          <w:trHeight w:hRule="exact" w:val="2411"/>
          <w:jc w:val="center"/>
        </w:trPr>
        <w:tc>
          <w:tcPr>
            <w:tcW w:w="1313" w:type="dxa"/>
            <w:vAlign w:val="center"/>
          </w:tcPr>
          <w:p w14:paraId="16812064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社</w:t>
            </w:r>
          </w:p>
          <w:p w14:paraId="72C4526C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会</w:t>
            </w:r>
          </w:p>
          <w:p w14:paraId="709AFEFB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效</w:t>
            </w:r>
            <w:proofErr w:type="gramEnd"/>
          </w:p>
          <w:p w14:paraId="0534C5DE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 w14:paraId="55BC138D" w14:textId="06655ADC" w:rsidR="00FD6434" w:rsidRDefault="00FD6434" w:rsidP="00FD6434">
            <w:pPr>
              <w:spacing w:line="2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C3E0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文章在《中国财政》杂志及</w:t>
            </w:r>
            <w:proofErr w:type="gramStart"/>
            <w:r w:rsidRPr="004C3E0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微信公众号</w:t>
            </w:r>
            <w:proofErr w:type="gramEnd"/>
            <w:r w:rsidRPr="004C3E0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同步推出后引起热烈反响，崔雪琴百折不挠</w:t>
            </w:r>
            <w:r w:rsidRPr="004C3E09">
              <w:rPr>
                <w:rFonts w:ascii="仿宋_GB2312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传承和弘扬非遗技艺、带领村民脱贫致富的拼搏精神和履职尽责、做党和国家与人民群众紧密联系的桥梁和纽带的奉献精神</w:t>
            </w:r>
            <w:r>
              <w:rPr>
                <w:rFonts w:ascii="仿宋_GB2312" w:hAnsi="仿宋" w:cs="仿宋" w:hint="eastAsia"/>
                <w:snapToGrid w:val="0"/>
                <w:color w:val="000000"/>
                <w:kern w:val="0"/>
                <w:sz w:val="24"/>
                <w:szCs w:val="24"/>
              </w:rPr>
              <w:t>使读者深受感动，</w:t>
            </w:r>
            <w:r w:rsidRPr="004C3E09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收到了很好的传播效果。</w:t>
            </w:r>
          </w:p>
        </w:tc>
      </w:tr>
      <w:tr w:rsidR="00FD6434" w14:paraId="690BB0FE" w14:textId="77777777" w:rsidTr="002C5F3A">
        <w:trPr>
          <w:cantSplit/>
          <w:trHeight w:hRule="exact" w:val="3607"/>
          <w:jc w:val="center"/>
        </w:trPr>
        <w:tc>
          <w:tcPr>
            <w:tcW w:w="1313" w:type="dxa"/>
            <w:vAlign w:val="center"/>
          </w:tcPr>
          <w:p w14:paraId="5D9FA057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4FD709E3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初推</w:t>
            </w:r>
          </w:p>
          <w:p w14:paraId="07A332F8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评荐</w:t>
            </w:r>
          </w:p>
          <w:p w14:paraId="1AE6FDFB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评理</w:t>
            </w:r>
          </w:p>
          <w:p w14:paraId="2AAA4E44" w14:textId="77777777" w:rsidR="00FD6434" w:rsidRDefault="00FD6434" w:rsidP="00FD6434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语由</w:t>
            </w:r>
          </w:p>
          <w:p w14:paraId="62895680" w14:textId="77777777" w:rsidR="00FD6434" w:rsidRDefault="00FD6434" w:rsidP="00FD6434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 w14:paraId="135B7E6F" w14:textId="5C462B64" w:rsidR="00FD6434" w:rsidRDefault="00FD6434" w:rsidP="00842C78">
            <w:pPr>
              <w:spacing w:line="360" w:lineRule="exact"/>
              <w:ind w:firstLineChars="200"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4783C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记者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与</w:t>
            </w:r>
            <w:r w:rsidRPr="0034783C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第十四届全国人大代表崔雪琴进行了面对面的访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谈</w:t>
            </w:r>
            <w:r w:rsidRPr="0034783C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，从“传承非遗技艺</w:t>
            </w:r>
            <w:r w:rsidRPr="0034783C">
              <w:rPr>
                <w:rFonts w:ascii="仿宋_GB2312" w:hAnsi="仿宋" w:cs="仿宋"/>
                <w:color w:val="000000"/>
                <w:sz w:val="24"/>
                <w:szCs w:val="24"/>
              </w:rPr>
              <w:t> </w:t>
            </w:r>
            <w:r w:rsidRPr="0034783C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织就幸福生活”“履职尽责</w:t>
            </w:r>
            <w:r w:rsidRPr="0034783C">
              <w:rPr>
                <w:rFonts w:ascii="仿宋_GB2312" w:hAnsi="仿宋" w:cs="仿宋"/>
                <w:color w:val="000000"/>
                <w:sz w:val="24"/>
                <w:szCs w:val="24"/>
              </w:rPr>
              <w:t> </w:t>
            </w:r>
            <w:r w:rsidRPr="0034783C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做党和国家与人民群众紧密联系的桥梁和纽带”“谋划发展</w:t>
            </w:r>
            <w:r w:rsidRPr="0034783C">
              <w:rPr>
                <w:rFonts w:ascii="仿宋_GB2312" w:hAnsi="仿宋" w:cs="仿宋"/>
                <w:color w:val="000000"/>
                <w:sz w:val="24"/>
                <w:szCs w:val="24"/>
              </w:rPr>
              <w:t> </w:t>
            </w:r>
            <w:r w:rsidRPr="0034783C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在乡村振兴中再立新功”三个方面，通过其质朴的语言，鲜活的描述，展现了崔雪琴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拼搏奉献、</w:t>
            </w:r>
            <w:r w:rsidRPr="0034783C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履职尽责、一心为民的代表风采。文章在多个平台刊发，获得广泛关注好评。</w:t>
            </w:r>
            <w:r w:rsidRPr="0034783C">
              <w:rPr>
                <w:rFonts w:ascii="仿宋_GB2312" w:hAnsi="华文中宋" w:hint="eastAsia"/>
                <w:color w:val="000000"/>
                <w:spacing w:val="-2"/>
                <w:sz w:val="24"/>
                <w:szCs w:val="24"/>
              </w:rPr>
              <w:t xml:space="preserve">   </w:t>
            </w:r>
          </w:p>
          <w:p w14:paraId="137234F0" w14:textId="77777777" w:rsidR="00FD6434" w:rsidRDefault="00FD6434" w:rsidP="00FD6434">
            <w:pPr>
              <w:spacing w:line="360" w:lineRule="exac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2A1E421" w14:textId="77777777" w:rsidR="007D39BC" w:rsidRDefault="00FD6434" w:rsidP="00FD6434">
            <w:pPr>
              <w:spacing w:line="360" w:lineRule="exact"/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            </w:t>
            </w:r>
            <w:r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3F0351BC" w14:textId="16CDA19C" w:rsidR="00FD6434" w:rsidRDefault="00FD6434" w:rsidP="007D39BC">
            <w:pPr>
              <w:spacing w:line="360" w:lineRule="exact"/>
              <w:ind w:firstLineChars="1400" w:firstLine="3304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>签名：</w:t>
            </w:r>
            <w:r w:rsidR="007D39BC"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</w:t>
            </w:r>
            <w:r w:rsidR="007D39BC"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  <w:t xml:space="preserve">        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（盖单位公章）</w:t>
            </w:r>
          </w:p>
          <w:p w14:paraId="7D63644C" w14:textId="3130F5D5" w:rsidR="00FD6434" w:rsidRDefault="00FD6434" w:rsidP="00FD643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</w:t>
            </w:r>
            <w:r w:rsidR="007D39BC">
              <w:rPr>
                <w:rFonts w:ascii="仿宋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2024年 </w:t>
            </w:r>
            <w:r w:rsidR="007D39BC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798A02FA" w14:textId="77777777" w:rsidR="00194629" w:rsidRPr="00BD68CE" w:rsidRDefault="00194629"/>
    <w:sectPr w:rsidR="00194629" w:rsidRPr="00BD68CE" w:rsidSect="00BD68CE">
      <w:pgSz w:w="11906" w:h="16838"/>
      <w:pgMar w:top="306" w:right="312" w:bottom="306" w:left="2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8957" w14:textId="77777777" w:rsidR="005E5B4B" w:rsidRDefault="005E5B4B" w:rsidP="002C5F3A">
      <w:r>
        <w:separator/>
      </w:r>
    </w:p>
  </w:endnote>
  <w:endnote w:type="continuationSeparator" w:id="0">
    <w:p w14:paraId="07F4F32C" w14:textId="77777777" w:rsidR="005E5B4B" w:rsidRDefault="005E5B4B" w:rsidP="002C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817C" w14:textId="77777777" w:rsidR="005E5B4B" w:rsidRDefault="005E5B4B" w:rsidP="002C5F3A">
      <w:r>
        <w:separator/>
      </w:r>
    </w:p>
  </w:footnote>
  <w:footnote w:type="continuationSeparator" w:id="0">
    <w:p w14:paraId="118482FA" w14:textId="77777777" w:rsidR="005E5B4B" w:rsidRDefault="005E5B4B" w:rsidP="002C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E"/>
    <w:rsid w:val="00172563"/>
    <w:rsid w:val="001733C7"/>
    <w:rsid w:val="00194629"/>
    <w:rsid w:val="0024009C"/>
    <w:rsid w:val="002C5F3A"/>
    <w:rsid w:val="005E5B4B"/>
    <w:rsid w:val="007D39BC"/>
    <w:rsid w:val="00842C78"/>
    <w:rsid w:val="008C56E6"/>
    <w:rsid w:val="008F4798"/>
    <w:rsid w:val="00927B19"/>
    <w:rsid w:val="00A44D56"/>
    <w:rsid w:val="00A746D5"/>
    <w:rsid w:val="00A752BE"/>
    <w:rsid w:val="00BD68CE"/>
    <w:rsid w:val="00C842D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35219"/>
  <w15:chartTrackingRefBased/>
  <w15:docId w15:val="{D79CEE4B-B560-4916-8C24-986BD35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C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F3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F3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suncy</cp:lastModifiedBy>
  <cp:revision>11</cp:revision>
  <dcterms:created xsi:type="dcterms:W3CDTF">2023-05-16T03:25:00Z</dcterms:created>
  <dcterms:modified xsi:type="dcterms:W3CDTF">2024-03-12T02:36:00Z</dcterms:modified>
</cp:coreProperties>
</file>