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AFEC0" w14:textId="31BCB40B" w:rsidR="00BD68CE" w:rsidRDefault="00BD68CE" w:rsidP="00BD68CE">
      <w:pPr>
        <w:rPr>
          <w:rFonts w:ascii="黑体" w:eastAsia="黑体" w:hAnsi="黑体" w:cs="黑体"/>
          <w:bCs/>
          <w:color w:val="000000"/>
          <w:szCs w:val="32"/>
        </w:rPr>
      </w:pPr>
    </w:p>
    <w:p w14:paraId="647BD1E2" w14:textId="77777777" w:rsidR="00BD68CE" w:rsidRDefault="00BD68CE" w:rsidP="00BD68CE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中国新闻奖新闻期刊参评作品推荐表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3943"/>
        <w:gridCol w:w="1276"/>
        <w:gridCol w:w="3866"/>
      </w:tblGrid>
      <w:tr w:rsidR="00BD68CE" w14:paraId="33BACAE0" w14:textId="77777777" w:rsidTr="00BD68CE">
        <w:trPr>
          <w:cantSplit/>
          <w:trHeight w:hRule="exact" w:val="738"/>
          <w:jc w:val="center"/>
        </w:trPr>
        <w:tc>
          <w:tcPr>
            <w:tcW w:w="1313" w:type="dxa"/>
            <w:vMerge w:val="restart"/>
            <w:vAlign w:val="center"/>
          </w:tcPr>
          <w:p w14:paraId="213ED08F" w14:textId="77777777" w:rsidR="00BD68CE" w:rsidRDefault="00BD68CE" w:rsidP="002C792F">
            <w:pPr>
              <w:spacing w:line="380" w:lineRule="exact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作品标题</w:t>
            </w:r>
          </w:p>
        </w:tc>
        <w:tc>
          <w:tcPr>
            <w:tcW w:w="3943" w:type="dxa"/>
            <w:vMerge w:val="restart"/>
            <w:vAlign w:val="center"/>
          </w:tcPr>
          <w:p w14:paraId="4E6EAC3B" w14:textId="77777777" w:rsidR="002C5F3A" w:rsidRDefault="002C5F3A" w:rsidP="002C5F3A">
            <w:pPr>
              <w:spacing w:line="260" w:lineRule="exac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7F3D06">
              <w:rPr>
                <w:rFonts w:ascii="仿宋_GB2312" w:hAnsi="仿宋" w:hint="eastAsia"/>
                <w:color w:val="000000"/>
                <w:sz w:val="24"/>
                <w:szCs w:val="24"/>
              </w:rPr>
              <w:t>学思想 强党性</w:t>
            </w: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 </w:t>
            </w:r>
            <w:r w:rsidRPr="007F3D06">
              <w:rPr>
                <w:rFonts w:ascii="仿宋_GB2312" w:hAnsi="仿宋" w:hint="eastAsia"/>
                <w:color w:val="000000"/>
                <w:sz w:val="24"/>
                <w:szCs w:val="24"/>
              </w:rPr>
              <w:t>重实践 建新功</w:t>
            </w:r>
          </w:p>
          <w:p w14:paraId="01D3BAB8" w14:textId="7255B623" w:rsidR="00BD68CE" w:rsidRPr="002C5F3A" w:rsidRDefault="00BD68CE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EE43C" w14:textId="77777777" w:rsidR="00BD68CE" w:rsidRDefault="00BD68CE" w:rsidP="002C792F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参评项目</w:t>
            </w:r>
          </w:p>
        </w:tc>
        <w:tc>
          <w:tcPr>
            <w:tcW w:w="3866" w:type="dxa"/>
            <w:vAlign w:val="center"/>
          </w:tcPr>
          <w:p w14:paraId="7A769EE6" w14:textId="71D337FF" w:rsidR="00BD68CE" w:rsidRPr="00D97E75" w:rsidRDefault="002C5F3A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重大主题报道</w:t>
            </w:r>
          </w:p>
        </w:tc>
      </w:tr>
      <w:tr w:rsidR="00BD68CE" w14:paraId="3A08B48E" w14:textId="77777777" w:rsidTr="002C792F">
        <w:trPr>
          <w:cantSplit/>
          <w:trHeight w:hRule="exact" w:val="698"/>
          <w:jc w:val="center"/>
        </w:trPr>
        <w:tc>
          <w:tcPr>
            <w:tcW w:w="1313" w:type="dxa"/>
            <w:vMerge/>
            <w:vAlign w:val="center"/>
          </w:tcPr>
          <w:p w14:paraId="2005CDD1" w14:textId="77777777" w:rsidR="00BD68CE" w:rsidRDefault="00BD68CE" w:rsidP="002C792F">
            <w:pPr>
              <w:spacing w:line="380" w:lineRule="exact"/>
              <w:ind w:firstLine="56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  <w:vMerge/>
            <w:vAlign w:val="center"/>
          </w:tcPr>
          <w:p w14:paraId="19B5879F" w14:textId="77777777" w:rsidR="00BD68CE" w:rsidRPr="00D97E75" w:rsidRDefault="00BD68CE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20972E" w14:textId="77777777" w:rsidR="00BD68CE" w:rsidRDefault="00BD68CE" w:rsidP="002C792F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体裁</w:t>
            </w:r>
          </w:p>
        </w:tc>
        <w:tc>
          <w:tcPr>
            <w:tcW w:w="3866" w:type="dxa"/>
            <w:vAlign w:val="center"/>
          </w:tcPr>
          <w:p w14:paraId="5154B74C" w14:textId="2B5195D4" w:rsidR="00BD68CE" w:rsidRPr="00D97E75" w:rsidRDefault="002C5F3A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  <w:r w:rsidRPr="00125B47">
              <w:rPr>
                <w:rFonts w:ascii="仿宋_GB2312" w:hAnsi="仿宋" w:cs="仿宋" w:hint="eastAsia"/>
                <w:color w:val="000000"/>
                <w:sz w:val="24"/>
                <w:szCs w:val="18"/>
              </w:rPr>
              <w:t>系列报道</w:t>
            </w:r>
          </w:p>
        </w:tc>
      </w:tr>
      <w:tr w:rsidR="00BD68CE" w14:paraId="498DFE3A" w14:textId="77777777" w:rsidTr="002C792F">
        <w:trPr>
          <w:cantSplit/>
          <w:trHeight w:hRule="exact" w:val="694"/>
          <w:jc w:val="center"/>
        </w:trPr>
        <w:tc>
          <w:tcPr>
            <w:tcW w:w="1313" w:type="dxa"/>
            <w:vMerge/>
            <w:vAlign w:val="center"/>
          </w:tcPr>
          <w:p w14:paraId="7B036C2C" w14:textId="77777777" w:rsidR="00BD68CE" w:rsidRDefault="00BD68CE" w:rsidP="002C792F">
            <w:pPr>
              <w:spacing w:line="380" w:lineRule="exact"/>
              <w:ind w:firstLine="560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  <w:vMerge/>
            <w:vAlign w:val="center"/>
          </w:tcPr>
          <w:p w14:paraId="4D59C3DA" w14:textId="77777777" w:rsidR="00BD68CE" w:rsidRPr="00D97E75" w:rsidRDefault="00BD68CE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B6362" w14:textId="77777777" w:rsidR="00BD68CE" w:rsidRDefault="00BD68CE" w:rsidP="002C792F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语种</w:t>
            </w:r>
          </w:p>
        </w:tc>
        <w:tc>
          <w:tcPr>
            <w:tcW w:w="3866" w:type="dxa"/>
            <w:vAlign w:val="center"/>
          </w:tcPr>
          <w:p w14:paraId="3AE04A45" w14:textId="6C80B108" w:rsidR="00BD68CE" w:rsidRPr="00D97E75" w:rsidRDefault="00BD68CE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D68CE" w14:paraId="4A383645" w14:textId="77777777" w:rsidTr="002C792F">
        <w:trPr>
          <w:trHeight w:val="667"/>
          <w:jc w:val="center"/>
        </w:trPr>
        <w:tc>
          <w:tcPr>
            <w:tcW w:w="1313" w:type="dxa"/>
            <w:vAlign w:val="center"/>
          </w:tcPr>
          <w:p w14:paraId="675EC3A5" w14:textId="77777777" w:rsidR="00BD68CE" w:rsidRDefault="00BD68CE" w:rsidP="002C792F">
            <w:pPr>
              <w:spacing w:line="320" w:lineRule="exact"/>
              <w:jc w:val="center"/>
              <w:rPr>
                <w:rFonts w:ascii="华文中宋" w:eastAsia="华文中宋" w:hAnsi="华文中宋" w:cs="华文中宋"/>
                <w:color w:val="000000"/>
                <w:spacing w:val="-12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pacing w:val="-12"/>
                <w:sz w:val="24"/>
                <w:szCs w:val="24"/>
              </w:rPr>
              <w:t>作  者</w:t>
            </w:r>
          </w:p>
          <w:p w14:paraId="39848335" w14:textId="77777777" w:rsidR="00BD68CE" w:rsidRPr="00BD68CE" w:rsidRDefault="00BD68CE" w:rsidP="002C792F">
            <w:pPr>
              <w:spacing w:line="320" w:lineRule="exact"/>
              <w:jc w:val="center"/>
              <w:rPr>
                <w:rFonts w:ascii="华文中宋" w:eastAsia="华文中宋" w:hAnsi="华文中宋" w:cs="华文中宋"/>
                <w:color w:val="000000"/>
                <w:spacing w:val="-12"/>
                <w:sz w:val="18"/>
                <w:szCs w:val="18"/>
              </w:rPr>
            </w:pPr>
            <w:r w:rsidRPr="00BD68CE">
              <w:rPr>
                <w:rFonts w:ascii="华文中宋" w:eastAsia="华文中宋" w:hAnsi="华文中宋" w:cs="华文中宋" w:hint="eastAsia"/>
                <w:color w:val="000000"/>
                <w:spacing w:val="-12"/>
                <w:sz w:val="18"/>
                <w:szCs w:val="18"/>
              </w:rPr>
              <w:t>（主创人员）</w:t>
            </w:r>
          </w:p>
        </w:tc>
        <w:tc>
          <w:tcPr>
            <w:tcW w:w="3943" w:type="dxa"/>
            <w:vAlign w:val="center"/>
          </w:tcPr>
          <w:p w14:paraId="2BAA622B" w14:textId="55222FDF" w:rsidR="00BD68CE" w:rsidRPr="00D97E75" w:rsidRDefault="002C5F3A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_GB2312" w:hAnsi="华文中宋" w:hint="eastAsia"/>
                <w:color w:val="000000"/>
                <w:sz w:val="24"/>
                <w:szCs w:val="24"/>
              </w:rPr>
              <w:t>集体（刘慧娴等）</w:t>
            </w:r>
          </w:p>
        </w:tc>
        <w:tc>
          <w:tcPr>
            <w:tcW w:w="1276" w:type="dxa"/>
            <w:vAlign w:val="center"/>
          </w:tcPr>
          <w:p w14:paraId="4284E443" w14:textId="77777777" w:rsidR="00BD68CE" w:rsidRDefault="00BD68CE" w:rsidP="00BD68CE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w w:val="95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编辑</w:t>
            </w:r>
          </w:p>
        </w:tc>
        <w:tc>
          <w:tcPr>
            <w:tcW w:w="3866" w:type="dxa"/>
            <w:vAlign w:val="center"/>
          </w:tcPr>
          <w:p w14:paraId="7F35B39B" w14:textId="31DAB0BD" w:rsidR="00BD68CE" w:rsidRPr="00D97E75" w:rsidRDefault="002C5F3A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  <w:r w:rsidRPr="00125B47">
              <w:rPr>
                <w:rFonts w:ascii="仿宋_GB2312" w:hAnsi="仿宋" w:cs="仿宋" w:hint="eastAsia"/>
                <w:color w:val="000000"/>
                <w:sz w:val="24"/>
                <w:szCs w:val="24"/>
              </w:rPr>
              <w:t>集体（李颖、方震海、张蕊、陈素娥、张小莉、刘慧娴、李艳芝、李</w:t>
            </w:r>
            <w:r w:rsidRPr="00DA19B3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烝</w:t>
            </w:r>
            <w:r w:rsidRPr="00125B47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、雷艳</w:t>
            </w:r>
            <w:r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、吕怡慧</w:t>
            </w:r>
            <w:r w:rsidRPr="00125B47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BD68CE" w14:paraId="484F528E" w14:textId="77777777" w:rsidTr="002C792F">
        <w:trPr>
          <w:cantSplit/>
          <w:trHeight w:val="788"/>
          <w:jc w:val="center"/>
        </w:trPr>
        <w:tc>
          <w:tcPr>
            <w:tcW w:w="1313" w:type="dxa"/>
            <w:vAlign w:val="center"/>
          </w:tcPr>
          <w:p w14:paraId="6986E3BC" w14:textId="77777777" w:rsidR="00BD68CE" w:rsidRDefault="00BD68CE" w:rsidP="002C792F">
            <w:pPr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原创单位</w:t>
            </w:r>
          </w:p>
        </w:tc>
        <w:tc>
          <w:tcPr>
            <w:tcW w:w="3943" w:type="dxa"/>
            <w:vAlign w:val="center"/>
          </w:tcPr>
          <w:p w14:paraId="76DB87FF" w14:textId="0BD61285" w:rsidR="00BD68CE" w:rsidRPr="00D97E75" w:rsidRDefault="002C5F3A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  <w:r w:rsidRPr="00125B47">
              <w:rPr>
                <w:rFonts w:ascii="仿宋_GB2312" w:hAnsi="仿宋" w:cs="宋体" w:hint="eastAsia"/>
                <w:sz w:val="24"/>
                <w:szCs w:val="24"/>
              </w:rPr>
              <w:t>中国财政杂志社</w:t>
            </w:r>
          </w:p>
        </w:tc>
        <w:tc>
          <w:tcPr>
            <w:tcW w:w="1276" w:type="dxa"/>
            <w:vAlign w:val="center"/>
          </w:tcPr>
          <w:p w14:paraId="5EFD46A2" w14:textId="77777777" w:rsidR="00BD68CE" w:rsidRDefault="00BD68CE" w:rsidP="002C792F">
            <w:pPr>
              <w:spacing w:line="240" w:lineRule="exact"/>
              <w:rPr>
                <w:rFonts w:ascii="仿宋_GB2312" w:hAnsi="仿宋"/>
                <w:color w:val="000000"/>
                <w:sz w:val="21"/>
                <w:szCs w:val="21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刊播单位</w:t>
            </w:r>
          </w:p>
        </w:tc>
        <w:tc>
          <w:tcPr>
            <w:tcW w:w="3866" w:type="dxa"/>
            <w:vAlign w:val="center"/>
          </w:tcPr>
          <w:p w14:paraId="358B9E94" w14:textId="27019D29" w:rsidR="00BD68CE" w:rsidRPr="00D97E75" w:rsidRDefault="002C5F3A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  <w:r w:rsidRPr="00125B47">
              <w:rPr>
                <w:rFonts w:ascii="仿宋_GB2312" w:hAnsi="仿宋" w:cs="宋体" w:hint="eastAsia"/>
                <w:sz w:val="24"/>
                <w:szCs w:val="24"/>
              </w:rPr>
              <w:t>中国财政杂志社</w:t>
            </w:r>
          </w:p>
        </w:tc>
      </w:tr>
      <w:tr w:rsidR="00BD68CE" w14:paraId="29E6B4A0" w14:textId="77777777" w:rsidTr="002C792F">
        <w:trPr>
          <w:cantSplit/>
          <w:trHeight w:hRule="exact" w:val="1109"/>
          <w:jc w:val="center"/>
        </w:trPr>
        <w:tc>
          <w:tcPr>
            <w:tcW w:w="1313" w:type="dxa"/>
            <w:vAlign w:val="center"/>
          </w:tcPr>
          <w:p w14:paraId="261EF3AB" w14:textId="77777777" w:rsidR="00BD68CE" w:rsidRDefault="00BD68CE" w:rsidP="002C792F">
            <w:pPr>
              <w:spacing w:line="440" w:lineRule="exact"/>
              <w:jc w:val="center"/>
              <w:rPr>
                <w:rFonts w:ascii="华文中宋" w:eastAsia="华文中宋" w:hAnsi="华文中宋" w:cs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4"/>
                <w:szCs w:val="24"/>
              </w:rPr>
              <w:t>年度刊期</w:t>
            </w:r>
          </w:p>
        </w:tc>
        <w:tc>
          <w:tcPr>
            <w:tcW w:w="3943" w:type="dxa"/>
            <w:vAlign w:val="center"/>
          </w:tcPr>
          <w:p w14:paraId="0C76B80C" w14:textId="79A0D600" w:rsidR="00BD68CE" w:rsidRPr="00D97E75" w:rsidRDefault="002C5F3A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  <w:r w:rsidRPr="00125B47">
              <w:rPr>
                <w:rFonts w:ascii="仿宋_GB2312" w:hAnsi="仿宋" w:cs="仿宋" w:hint="eastAsia"/>
                <w:sz w:val="24"/>
                <w:szCs w:val="24"/>
              </w:rPr>
              <w:t>《中国财政》202</w:t>
            </w:r>
            <w:r>
              <w:rPr>
                <w:rFonts w:ascii="仿宋_GB2312" w:hAnsi="仿宋" w:cs="仿宋"/>
                <w:sz w:val="24"/>
                <w:szCs w:val="24"/>
              </w:rPr>
              <w:t>3</w:t>
            </w:r>
            <w:r w:rsidRPr="00125B47">
              <w:rPr>
                <w:rFonts w:ascii="仿宋_GB2312" w:hAnsi="仿宋" w:cs="仿宋" w:hint="eastAsia"/>
                <w:sz w:val="24"/>
                <w:szCs w:val="24"/>
              </w:rPr>
              <w:t>年</w:t>
            </w:r>
            <w:r>
              <w:rPr>
                <w:rFonts w:ascii="仿宋_GB2312" w:hAnsi="仿宋" w:cs="仿宋" w:hint="eastAsia"/>
                <w:sz w:val="24"/>
                <w:szCs w:val="24"/>
              </w:rPr>
              <w:t>第</w:t>
            </w:r>
            <w:r>
              <w:rPr>
                <w:rFonts w:ascii="仿宋_GB2312" w:hAnsi="仿宋" w:cs="仿宋"/>
                <w:sz w:val="24"/>
                <w:szCs w:val="24"/>
              </w:rPr>
              <w:t>14</w:t>
            </w:r>
            <w:r w:rsidRPr="00125B47">
              <w:rPr>
                <w:rFonts w:ascii="仿宋_GB2312" w:hAnsi="仿宋" w:cs="仿宋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vAlign w:val="center"/>
          </w:tcPr>
          <w:p w14:paraId="417F5E6E" w14:textId="77777777" w:rsidR="00BD68CE" w:rsidRDefault="00BD68CE" w:rsidP="002C792F">
            <w:pPr>
              <w:spacing w:line="260" w:lineRule="exact"/>
              <w:rPr>
                <w:rFonts w:ascii="仿宋_GB2312" w:eastAsia="仿宋" w:hAnsi="仿宋"/>
                <w:color w:val="000000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刊播日期</w:t>
            </w:r>
          </w:p>
        </w:tc>
        <w:tc>
          <w:tcPr>
            <w:tcW w:w="3866" w:type="dxa"/>
            <w:vAlign w:val="center"/>
          </w:tcPr>
          <w:p w14:paraId="6587E846" w14:textId="675FED56" w:rsidR="00BD68CE" w:rsidRDefault="006C60A0" w:rsidP="002C792F">
            <w:pPr>
              <w:spacing w:line="260" w:lineRule="exact"/>
              <w:rPr>
                <w:rFonts w:ascii="仿宋_GB2312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_GB2312" w:eastAsia="仿宋" w:hAnsi="仿宋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仿宋_GB2312" w:eastAsia="仿宋" w:hAnsi="仿宋"/>
                <w:color w:val="000000"/>
                <w:sz w:val="21"/>
                <w:szCs w:val="21"/>
              </w:rPr>
              <w:t>023-07-25</w:t>
            </w:r>
          </w:p>
        </w:tc>
      </w:tr>
      <w:tr w:rsidR="00BD68CE" w14:paraId="64957017" w14:textId="77777777" w:rsidTr="002C792F">
        <w:trPr>
          <w:cantSplit/>
          <w:trHeight w:hRule="exact" w:val="855"/>
          <w:jc w:val="center"/>
        </w:trPr>
        <w:tc>
          <w:tcPr>
            <w:tcW w:w="1313" w:type="dxa"/>
            <w:vAlign w:val="center"/>
          </w:tcPr>
          <w:p w14:paraId="12AC26E2" w14:textId="77777777" w:rsidR="00BD68CE" w:rsidRDefault="00BD68CE" w:rsidP="002C792F">
            <w:pPr>
              <w:spacing w:line="340" w:lineRule="exact"/>
              <w:rPr>
                <w:rFonts w:ascii="仿宋_GB2312" w:hAnsi="仿宋"/>
                <w:color w:val="000000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1"/>
                <w:szCs w:val="21"/>
              </w:rPr>
              <w:t>新媒体作品填报网址</w:t>
            </w:r>
          </w:p>
        </w:tc>
        <w:tc>
          <w:tcPr>
            <w:tcW w:w="3943" w:type="dxa"/>
            <w:vAlign w:val="center"/>
          </w:tcPr>
          <w:p w14:paraId="715C6DE3" w14:textId="77777777" w:rsidR="00BD68CE" w:rsidRDefault="00BD68CE" w:rsidP="002C792F">
            <w:pPr>
              <w:spacing w:line="260" w:lineRule="exact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F089BE" w14:textId="77777777" w:rsidR="00BD68CE" w:rsidRDefault="00BD68CE" w:rsidP="002C792F">
            <w:pPr>
              <w:spacing w:line="260" w:lineRule="exact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1"/>
                <w:szCs w:val="21"/>
              </w:rPr>
              <w:t>字数/时长</w:t>
            </w:r>
          </w:p>
        </w:tc>
        <w:tc>
          <w:tcPr>
            <w:tcW w:w="3866" w:type="dxa"/>
            <w:vAlign w:val="center"/>
          </w:tcPr>
          <w:p w14:paraId="03E0DD46" w14:textId="1B067753" w:rsidR="00BD68CE" w:rsidRPr="004D61A1" w:rsidRDefault="00BD68CE" w:rsidP="002C792F">
            <w:pPr>
              <w:spacing w:line="260" w:lineRule="exac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BD68CE" w14:paraId="33D1E669" w14:textId="77777777" w:rsidTr="008F4798">
        <w:trPr>
          <w:cantSplit/>
          <w:trHeight w:val="2217"/>
          <w:jc w:val="center"/>
        </w:trPr>
        <w:tc>
          <w:tcPr>
            <w:tcW w:w="1313" w:type="dxa"/>
            <w:vAlign w:val="center"/>
          </w:tcPr>
          <w:p w14:paraId="53FA12E3" w14:textId="77777777" w:rsidR="00BD68CE" w:rsidRDefault="00BD68CE" w:rsidP="002C792F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 xml:space="preserve">  ︵</w:t>
            </w:r>
          </w:p>
          <w:p w14:paraId="3BB378A4" w14:textId="77777777" w:rsidR="00BD68CE" w:rsidRDefault="00BD68CE" w:rsidP="002C792F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作采</w:t>
            </w:r>
          </w:p>
          <w:p w14:paraId="6F27EDD0" w14:textId="77777777" w:rsidR="00BD68CE" w:rsidRDefault="00BD68CE" w:rsidP="002C792F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品编</w:t>
            </w:r>
          </w:p>
          <w:p w14:paraId="69DB3447" w14:textId="77777777" w:rsidR="00BD68CE" w:rsidRDefault="00BD68CE" w:rsidP="002C792F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简过</w:t>
            </w:r>
          </w:p>
          <w:p w14:paraId="19718167" w14:textId="77777777" w:rsidR="00BD68CE" w:rsidRDefault="00BD68CE" w:rsidP="002C792F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介</w:t>
            </w:r>
            <w:proofErr w:type="gramEnd"/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程</w:t>
            </w:r>
          </w:p>
          <w:p w14:paraId="327E1EB1" w14:textId="77777777" w:rsidR="00BD68CE" w:rsidRDefault="00BD68CE" w:rsidP="002C792F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 xml:space="preserve">  ︶</w:t>
            </w:r>
          </w:p>
        </w:tc>
        <w:tc>
          <w:tcPr>
            <w:tcW w:w="9085" w:type="dxa"/>
            <w:gridSpan w:val="3"/>
            <w:vAlign w:val="center"/>
          </w:tcPr>
          <w:p w14:paraId="2B6C30B6" w14:textId="407D8F4E" w:rsidR="00BD68CE" w:rsidRDefault="002C5F3A" w:rsidP="00DD4B85">
            <w:pPr>
              <w:spacing w:line="240" w:lineRule="exact"/>
              <w:ind w:firstLineChars="200" w:firstLine="4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为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做好</w:t>
            </w:r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学习贯彻习近平新时代中国特色社会主义思想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主题教育宣传</w:t>
            </w: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，中国财政杂志社认真组织策划了</w:t>
            </w:r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“学思想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 xml:space="preserve"> </w:t>
            </w:r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强党性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 xml:space="preserve"> </w:t>
            </w:r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重实践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 xml:space="preserve"> </w:t>
            </w:r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建新功”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重大主题</w:t>
            </w: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报道，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刊发本刊记者采写报道，并</w:t>
            </w: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约请财政部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部分</w:t>
            </w: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司局、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监管局及地方财政厅局</w:t>
            </w: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撰文，</w:t>
            </w:r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宣传报道财政部及各地财政部门将主题教育作为当前重大政治任务，高度重视、精心组织，加强统筹、有序推进，聚焦重点、突显特色，坚持高标准、高质量、严要求落实好主题教育各项任务，确保主题教育取得实实在在的成效。</w:t>
            </w:r>
          </w:p>
          <w:p w14:paraId="709589BC" w14:textId="621C7242" w:rsidR="00BD68CE" w:rsidRDefault="00BD68CE" w:rsidP="002C792F">
            <w:pPr>
              <w:spacing w:line="260" w:lineRule="exact"/>
              <w:rPr>
                <w:rFonts w:ascii="仿宋" w:eastAsia="仿宋" w:hAnsi="仿宋"/>
                <w:color w:val="000000"/>
                <w:w w:val="95"/>
                <w:sz w:val="24"/>
                <w:szCs w:val="24"/>
              </w:rPr>
            </w:pPr>
          </w:p>
        </w:tc>
      </w:tr>
      <w:tr w:rsidR="002C5F3A" w14:paraId="2B46FE89" w14:textId="77777777" w:rsidTr="008F4798">
        <w:trPr>
          <w:cantSplit/>
          <w:trHeight w:hRule="exact" w:val="2411"/>
          <w:jc w:val="center"/>
        </w:trPr>
        <w:tc>
          <w:tcPr>
            <w:tcW w:w="1313" w:type="dxa"/>
            <w:vAlign w:val="center"/>
          </w:tcPr>
          <w:p w14:paraId="16812064" w14:textId="77777777" w:rsidR="002C5F3A" w:rsidRDefault="002C5F3A" w:rsidP="002C5F3A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社</w:t>
            </w:r>
          </w:p>
          <w:p w14:paraId="72C4526C" w14:textId="77777777" w:rsidR="002C5F3A" w:rsidRDefault="002C5F3A" w:rsidP="002C5F3A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会</w:t>
            </w:r>
          </w:p>
          <w:p w14:paraId="709AFEFB" w14:textId="77777777" w:rsidR="002C5F3A" w:rsidRDefault="002C5F3A" w:rsidP="002C5F3A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效</w:t>
            </w:r>
            <w:proofErr w:type="gramEnd"/>
          </w:p>
          <w:p w14:paraId="0534C5DE" w14:textId="77777777" w:rsidR="002C5F3A" w:rsidRDefault="002C5F3A" w:rsidP="002C5F3A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果</w:t>
            </w:r>
          </w:p>
        </w:tc>
        <w:tc>
          <w:tcPr>
            <w:tcW w:w="9085" w:type="dxa"/>
            <w:gridSpan w:val="3"/>
            <w:vAlign w:val="center"/>
          </w:tcPr>
          <w:p w14:paraId="55BC138D" w14:textId="0F516D58" w:rsidR="002C5F3A" w:rsidRDefault="002C5F3A" w:rsidP="00DD4B85">
            <w:pPr>
              <w:spacing w:line="260" w:lineRule="exact"/>
              <w:ind w:firstLineChars="200" w:firstLine="4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系列报道同时在</w:t>
            </w:r>
            <w:proofErr w:type="gramStart"/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微信公众号</w:t>
            </w:r>
            <w:proofErr w:type="gramEnd"/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、网站发布，被各级财政部</w:t>
            </w:r>
            <w:proofErr w:type="gramStart"/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门大量</w:t>
            </w:r>
            <w:proofErr w:type="gramEnd"/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转发，受到广泛好评，读者认为，系列报道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充分展现了</w:t>
            </w:r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财政部及各地财政部门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在主题教育中</w:t>
            </w:r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坚持</w:t>
            </w:r>
            <w:proofErr w:type="gramStart"/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学思用贯通</w:t>
            </w:r>
            <w:proofErr w:type="gramEnd"/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、</w:t>
            </w:r>
            <w:proofErr w:type="gramStart"/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知信行</w:t>
            </w:r>
            <w:proofErr w:type="gramEnd"/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统一，努力在以</w:t>
            </w:r>
            <w:proofErr w:type="gramStart"/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学铸魂</w:t>
            </w:r>
            <w:proofErr w:type="gramEnd"/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、以学增智、以学正风、以学促干上取得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的</w:t>
            </w:r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实实在在的成效，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为推动各级财政部门</w:t>
            </w:r>
            <w:r w:rsidRPr="009A1B09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把习近平新时代中国特色社会主义思想转化为坚定理想、锤炼党性和指导财政实践、推动财政事业高质量发展的强大力量</w:t>
            </w: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营造了良好氛围，取得较好宣传效果。</w:t>
            </w:r>
          </w:p>
        </w:tc>
      </w:tr>
      <w:tr w:rsidR="002C5F3A" w14:paraId="690BB0FE" w14:textId="77777777" w:rsidTr="002C5F3A">
        <w:trPr>
          <w:cantSplit/>
          <w:trHeight w:hRule="exact" w:val="3607"/>
          <w:jc w:val="center"/>
        </w:trPr>
        <w:tc>
          <w:tcPr>
            <w:tcW w:w="1313" w:type="dxa"/>
            <w:vAlign w:val="center"/>
          </w:tcPr>
          <w:p w14:paraId="5D9FA057" w14:textId="77777777" w:rsidR="002C5F3A" w:rsidRDefault="002C5F3A" w:rsidP="002C5F3A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 xml:space="preserve">  ︵</w:t>
            </w:r>
          </w:p>
          <w:p w14:paraId="4FD709E3" w14:textId="77777777" w:rsidR="002C5F3A" w:rsidRDefault="002C5F3A" w:rsidP="002C5F3A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初推</w:t>
            </w:r>
          </w:p>
          <w:p w14:paraId="07A332F8" w14:textId="77777777" w:rsidR="002C5F3A" w:rsidRDefault="002C5F3A" w:rsidP="002C5F3A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评荐</w:t>
            </w:r>
          </w:p>
          <w:p w14:paraId="1AE6FDFB" w14:textId="77777777" w:rsidR="002C5F3A" w:rsidRDefault="002C5F3A" w:rsidP="002C5F3A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评理</w:t>
            </w:r>
          </w:p>
          <w:p w14:paraId="2AAA4E44" w14:textId="77777777" w:rsidR="002C5F3A" w:rsidRDefault="002C5F3A" w:rsidP="002C5F3A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语由</w:t>
            </w:r>
          </w:p>
          <w:p w14:paraId="62895680" w14:textId="77777777" w:rsidR="002C5F3A" w:rsidRDefault="002C5F3A" w:rsidP="002C5F3A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 xml:space="preserve">  ︶</w:t>
            </w:r>
          </w:p>
        </w:tc>
        <w:tc>
          <w:tcPr>
            <w:tcW w:w="9085" w:type="dxa"/>
            <w:gridSpan w:val="3"/>
            <w:vAlign w:val="center"/>
          </w:tcPr>
          <w:p w14:paraId="25D18BAA" w14:textId="2D551937" w:rsidR="002C5F3A" w:rsidRPr="00944F4D" w:rsidRDefault="002C5F3A" w:rsidP="00DD4B85">
            <w:pPr>
              <w:spacing w:line="260" w:lineRule="exact"/>
              <w:ind w:firstLineChars="200" w:firstLine="400"/>
              <w:rPr>
                <w:rFonts w:ascii="仿宋" w:eastAsia="仿宋" w:hAnsi="仿宋"/>
                <w:sz w:val="21"/>
                <w:szCs w:val="21"/>
              </w:rPr>
            </w:pPr>
            <w:bookmarkStart w:id="0" w:name="_GoBack"/>
            <w:bookmarkEnd w:id="0"/>
            <w:r w:rsidRPr="002B669E">
              <w:rPr>
                <w:rFonts w:ascii="仿宋_GB2312" w:hAnsi="仿宋" w:hint="eastAsia"/>
                <w:color w:val="000000"/>
                <w:sz w:val="20"/>
                <w:szCs w:val="20"/>
              </w:rPr>
              <w:t>在全党深入开展主题教育，是党中央为全面贯彻党的二十大精神，动员全党同志为完成党的中心任务而团结奋斗</w:t>
            </w:r>
            <w:proofErr w:type="gramStart"/>
            <w:r w:rsidRPr="002B669E">
              <w:rPr>
                <w:rFonts w:ascii="仿宋_GB2312" w:hAnsi="仿宋" w:hint="eastAsia"/>
                <w:color w:val="000000"/>
                <w:sz w:val="20"/>
                <w:szCs w:val="20"/>
              </w:rPr>
              <w:t>作出</w:t>
            </w:r>
            <w:proofErr w:type="gramEnd"/>
            <w:r w:rsidRPr="002B669E">
              <w:rPr>
                <w:rFonts w:ascii="仿宋_GB2312" w:hAnsi="仿宋" w:hint="eastAsia"/>
                <w:color w:val="000000"/>
                <w:sz w:val="20"/>
                <w:szCs w:val="20"/>
              </w:rPr>
              <w:t>的重大部署。</w:t>
            </w:r>
            <w:r>
              <w:rPr>
                <w:rFonts w:ascii="仿宋_GB2312" w:hAnsi="仿宋" w:hint="eastAsia"/>
                <w:color w:val="000000"/>
                <w:sz w:val="20"/>
                <w:szCs w:val="20"/>
              </w:rPr>
              <w:t>系列</w:t>
            </w: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报道概括全面，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事例</w:t>
            </w: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翔实，</w:t>
            </w:r>
            <w:r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文字精炼</w:t>
            </w: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，充分展现了</w:t>
            </w:r>
            <w:r>
              <w:rPr>
                <w:rFonts w:ascii="仿宋_GB2312" w:hAnsi="仿宋" w:hint="eastAsia"/>
                <w:color w:val="000000"/>
                <w:sz w:val="20"/>
                <w:szCs w:val="20"/>
              </w:rPr>
              <w:t>各级</w:t>
            </w:r>
            <w:r w:rsidRPr="002B669E">
              <w:rPr>
                <w:rFonts w:ascii="仿宋_GB2312" w:hAnsi="仿宋" w:hint="eastAsia"/>
                <w:color w:val="000000"/>
                <w:sz w:val="20"/>
                <w:szCs w:val="20"/>
              </w:rPr>
              <w:t>财政部</w:t>
            </w:r>
            <w:r>
              <w:rPr>
                <w:rFonts w:ascii="仿宋_GB2312" w:hAnsi="仿宋" w:hint="eastAsia"/>
                <w:color w:val="000000"/>
                <w:sz w:val="20"/>
                <w:szCs w:val="20"/>
              </w:rPr>
              <w:t>门</w:t>
            </w:r>
            <w:r w:rsidRPr="002B669E">
              <w:rPr>
                <w:rFonts w:ascii="仿宋_GB2312" w:hAnsi="仿宋" w:hint="eastAsia"/>
                <w:color w:val="000000"/>
                <w:sz w:val="20"/>
                <w:szCs w:val="20"/>
              </w:rPr>
              <w:t>将主题教育作为重大政治任务，坚持高标准、高质量、严要求落实好主题教育各项任务，确保主题教育取得</w:t>
            </w:r>
            <w:r>
              <w:rPr>
                <w:rFonts w:ascii="仿宋_GB2312" w:hAnsi="仿宋" w:hint="eastAsia"/>
                <w:color w:val="000000"/>
                <w:sz w:val="20"/>
                <w:szCs w:val="20"/>
              </w:rPr>
              <w:t>的</w:t>
            </w:r>
            <w:r w:rsidRPr="002B669E">
              <w:rPr>
                <w:rFonts w:ascii="仿宋_GB2312" w:hAnsi="仿宋" w:hint="eastAsia"/>
                <w:color w:val="000000"/>
                <w:sz w:val="20"/>
                <w:szCs w:val="20"/>
              </w:rPr>
              <w:t>实实在在的成效</w:t>
            </w:r>
            <w:r w:rsidRPr="00125B47">
              <w:rPr>
                <w:rFonts w:ascii="仿宋_GB2312" w:hAnsi="仿宋" w:cs="仿宋" w:hint="eastAsia"/>
                <w:color w:val="000000"/>
                <w:sz w:val="20"/>
                <w:szCs w:val="20"/>
              </w:rPr>
              <w:t>，营造了良好氛围，宣传效果显著。</w:t>
            </w:r>
          </w:p>
          <w:p w14:paraId="72E7BB24" w14:textId="5DFD606A" w:rsidR="002C5F3A" w:rsidRDefault="002C5F3A" w:rsidP="002C5F3A">
            <w:pPr>
              <w:spacing w:line="360" w:lineRule="exact"/>
              <w:rPr>
                <w:rFonts w:ascii="华文中宋" w:eastAsia="华文中宋" w:hAnsi="华文中宋"/>
                <w:color w:val="000000"/>
                <w:spacing w:val="-2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4"/>
                <w:szCs w:val="24"/>
              </w:rPr>
              <w:t xml:space="preserve">                      </w:t>
            </w:r>
          </w:p>
          <w:p w14:paraId="5E6995FC" w14:textId="77777777" w:rsidR="002C5F3A" w:rsidRDefault="002C5F3A" w:rsidP="002C5F3A">
            <w:pPr>
              <w:spacing w:line="360" w:lineRule="exact"/>
              <w:rPr>
                <w:rFonts w:ascii="华文中宋" w:eastAsia="华文中宋" w:hAnsi="华文中宋"/>
                <w:color w:val="000000"/>
                <w:spacing w:val="-2"/>
                <w:sz w:val="24"/>
                <w:szCs w:val="24"/>
              </w:rPr>
            </w:pPr>
          </w:p>
          <w:p w14:paraId="7903B1CD" w14:textId="77777777" w:rsidR="00C52E81" w:rsidRDefault="002C5F3A" w:rsidP="002C5F3A">
            <w:pPr>
              <w:spacing w:line="360" w:lineRule="exact"/>
              <w:rPr>
                <w:rFonts w:ascii="华文中宋" w:eastAsia="华文中宋" w:hAnsi="华文中宋"/>
                <w:color w:val="000000"/>
                <w:spacing w:val="-2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4"/>
                <w:szCs w:val="24"/>
              </w:rPr>
              <w:t xml:space="preserve">                          </w:t>
            </w:r>
            <w:r>
              <w:rPr>
                <w:rFonts w:ascii="华文中宋" w:eastAsia="华文中宋" w:hAnsi="华文中宋"/>
                <w:color w:val="000000"/>
                <w:spacing w:val="-2"/>
                <w:sz w:val="24"/>
                <w:szCs w:val="24"/>
              </w:rPr>
              <w:t xml:space="preserve">        </w:t>
            </w:r>
          </w:p>
          <w:p w14:paraId="3F0351BC" w14:textId="0851BFE0" w:rsidR="002C5F3A" w:rsidRDefault="002C5F3A" w:rsidP="00C52E81">
            <w:pPr>
              <w:spacing w:line="360" w:lineRule="exact"/>
              <w:ind w:firstLineChars="1400" w:firstLine="3304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4"/>
                <w:szCs w:val="24"/>
              </w:rPr>
              <w:t xml:space="preserve"> 签名：</w:t>
            </w:r>
            <w:r w:rsidR="00C52E81">
              <w:rPr>
                <w:rFonts w:ascii="华文中宋" w:eastAsia="华文中宋" w:hAnsi="华文中宋" w:hint="eastAsia"/>
                <w:color w:val="000000"/>
                <w:spacing w:val="-2"/>
                <w:sz w:val="24"/>
                <w:szCs w:val="24"/>
              </w:rPr>
              <w:t xml:space="preserve"> </w:t>
            </w:r>
            <w:r w:rsidR="00C52E81">
              <w:rPr>
                <w:rFonts w:ascii="华文中宋" w:eastAsia="华文中宋" w:hAnsi="华文中宋"/>
                <w:color w:val="000000"/>
                <w:spacing w:val="-2"/>
                <w:sz w:val="24"/>
                <w:szCs w:val="24"/>
              </w:rPr>
              <w:t xml:space="preserve">       </w:t>
            </w: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（盖单位公章）</w:t>
            </w:r>
          </w:p>
          <w:p w14:paraId="7D63644C" w14:textId="104B86B5" w:rsidR="002C5F3A" w:rsidRDefault="002C5F3A" w:rsidP="002C5F3A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 </w:t>
            </w:r>
            <w:r w:rsidR="00C52E81">
              <w:rPr>
                <w:rFonts w:ascii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华文中宋" w:eastAsia="华文中宋" w:hAnsi="华文中宋"/>
                <w:color w:val="000000"/>
                <w:sz w:val="24"/>
                <w:szCs w:val="24"/>
              </w:rPr>
              <w:t xml:space="preserve">2024年 </w:t>
            </w:r>
            <w:r w:rsidR="00C52E81">
              <w:rPr>
                <w:rFonts w:ascii="华文中宋" w:eastAsia="华文中宋" w:hAnsi="华文中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华文中宋" w:eastAsia="华文中宋" w:hAnsi="华文中宋"/>
                <w:color w:val="000000"/>
                <w:sz w:val="24"/>
                <w:szCs w:val="24"/>
              </w:rPr>
              <w:t xml:space="preserve">  </w:t>
            </w:r>
            <w:r w:rsidR="00841671">
              <w:rPr>
                <w:rFonts w:ascii="华文中宋" w:eastAsia="华文中宋" w:hAnsi="华文中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华文中宋" w:eastAsia="华文中宋" w:hAnsi="华文中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98A02FA" w14:textId="77777777" w:rsidR="00194629" w:rsidRPr="00BD68CE" w:rsidRDefault="00194629"/>
    <w:sectPr w:rsidR="00194629" w:rsidRPr="00BD68CE" w:rsidSect="00BD68CE">
      <w:pgSz w:w="11906" w:h="16838"/>
      <w:pgMar w:top="306" w:right="312" w:bottom="306" w:left="2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0959E" w14:textId="77777777" w:rsidR="00502BAB" w:rsidRDefault="00502BAB" w:rsidP="002C5F3A">
      <w:r>
        <w:separator/>
      </w:r>
    </w:p>
  </w:endnote>
  <w:endnote w:type="continuationSeparator" w:id="0">
    <w:p w14:paraId="05F3126A" w14:textId="77777777" w:rsidR="00502BAB" w:rsidRDefault="00502BAB" w:rsidP="002C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A4AFC" w14:textId="77777777" w:rsidR="00502BAB" w:rsidRDefault="00502BAB" w:rsidP="002C5F3A">
      <w:r>
        <w:separator/>
      </w:r>
    </w:p>
  </w:footnote>
  <w:footnote w:type="continuationSeparator" w:id="0">
    <w:p w14:paraId="278E8C56" w14:textId="77777777" w:rsidR="00502BAB" w:rsidRDefault="00502BAB" w:rsidP="002C5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CE"/>
    <w:rsid w:val="00135B3A"/>
    <w:rsid w:val="00194629"/>
    <w:rsid w:val="0024009C"/>
    <w:rsid w:val="002C5F3A"/>
    <w:rsid w:val="00483BC3"/>
    <w:rsid w:val="00502BAB"/>
    <w:rsid w:val="006C60A0"/>
    <w:rsid w:val="00841671"/>
    <w:rsid w:val="008F4798"/>
    <w:rsid w:val="00BD68CE"/>
    <w:rsid w:val="00C52E81"/>
    <w:rsid w:val="00D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35219"/>
  <w15:chartTrackingRefBased/>
  <w15:docId w15:val="{D79CEE4B-B560-4916-8C24-986BD359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CE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F3A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F3A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suncy</cp:lastModifiedBy>
  <cp:revision>7</cp:revision>
  <dcterms:created xsi:type="dcterms:W3CDTF">2023-05-16T03:25:00Z</dcterms:created>
  <dcterms:modified xsi:type="dcterms:W3CDTF">2024-03-12T02:27:00Z</dcterms:modified>
</cp:coreProperties>
</file>