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FEC0" w14:textId="31BCB40B" w:rsidR="00BD68CE" w:rsidRDefault="00BD68CE" w:rsidP="00BD68CE">
      <w:pPr>
        <w:rPr>
          <w:rFonts w:ascii="黑体" w:eastAsia="黑体" w:hAnsi="黑体" w:cs="黑体" w:hint="eastAsia"/>
          <w:bCs/>
          <w:color w:val="000000"/>
          <w:szCs w:val="32"/>
        </w:rPr>
      </w:pPr>
    </w:p>
    <w:p w14:paraId="647BD1E2" w14:textId="77777777" w:rsidR="00BD68CE" w:rsidRDefault="00BD68CE" w:rsidP="00BD68CE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中国新闻奖新闻期刊参评作品推荐表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3943"/>
        <w:gridCol w:w="1276"/>
        <w:gridCol w:w="3866"/>
      </w:tblGrid>
      <w:tr w:rsidR="00BD68CE" w14:paraId="33BACAE0" w14:textId="77777777" w:rsidTr="00BD68CE">
        <w:trPr>
          <w:cantSplit/>
          <w:trHeight w:hRule="exact" w:val="738"/>
          <w:jc w:val="center"/>
        </w:trPr>
        <w:tc>
          <w:tcPr>
            <w:tcW w:w="1313" w:type="dxa"/>
            <w:vMerge w:val="restart"/>
            <w:vAlign w:val="center"/>
          </w:tcPr>
          <w:p w14:paraId="213ED08F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 w14:paraId="01D3BAB8" w14:textId="07C7FC84" w:rsidR="00BD68CE" w:rsidRPr="002C5F3A" w:rsidRDefault="0021291A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两会观察2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1276" w:type="dxa"/>
            <w:vAlign w:val="center"/>
          </w:tcPr>
          <w:p w14:paraId="32AEE43C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 w14:paraId="7A769EE6" w14:textId="5CFCF7BE" w:rsidR="00BD68CE" w:rsidRPr="00D97E75" w:rsidRDefault="0021291A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0C65F7">
              <w:rPr>
                <w:rFonts w:ascii="仿宋_GB2312" w:hAnsi="华文中宋" w:hint="eastAsia"/>
                <w:color w:val="000000"/>
                <w:sz w:val="24"/>
                <w:szCs w:val="24"/>
              </w:rPr>
              <w:t>融合报道</w:t>
            </w:r>
          </w:p>
        </w:tc>
      </w:tr>
      <w:tr w:rsidR="00BD68CE" w14:paraId="3A08B48E" w14:textId="77777777" w:rsidTr="002C792F">
        <w:trPr>
          <w:cantSplit/>
          <w:trHeight w:hRule="exact" w:val="698"/>
          <w:jc w:val="center"/>
        </w:trPr>
        <w:tc>
          <w:tcPr>
            <w:tcW w:w="1313" w:type="dxa"/>
            <w:vMerge/>
            <w:vAlign w:val="center"/>
          </w:tcPr>
          <w:p w14:paraId="2005CDD1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  <w:vAlign w:val="center"/>
          </w:tcPr>
          <w:p w14:paraId="19B5879F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0972E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 w14:paraId="5154B74C" w14:textId="1BB8A287" w:rsidR="00BD68CE" w:rsidRPr="00D97E75" w:rsidRDefault="0021291A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评论</w:t>
            </w:r>
          </w:p>
        </w:tc>
      </w:tr>
      <w:tr w:rsidR="00BD68CE" w14:paraId="498DFE3A" w14:textId="77777777" w:rsidTr="002C792F">
        <w:trPr>
          <w:cantSplit/>
          <w:trHeight w:hRule="exact" w:val="694"/>
          <w:jc w:val="center"/>
        </w:trPr>
        <w:tc>
          <w:tcPr>
            <w:tcW w:w="1313" w:type="dxa"/>
            <w:vMerge/>
            <w:vAlign w:val="center"/>
          </w:tcPr>
          <w:p w14:paraId="7B036C2C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  <w:vAlign w:val="center"/>
          </w:tcPr>
          <w:p w14:paraId="4D59C3DA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B6362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 w14:paraId="3AE04A45" w14:textId="6C80B108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44D56" w14:paraId="4A383645" w14:textId="77777777" w:rsidTr="002C792F">
        <w:trPr>
          <w:trHeight w:val="667"/>
          <w:jc w:val="center"/>
        </w:trPr>
        <w:tc>
          <w:tcPr>
            <w:tcW w:w="1313" w:type="dxa"/>
            <w:vAlign w:val="center"/>
          </w:tcPr>
          <w:p w14:paraId="675EC3A5" w14:textId="77777777" w:rsidR="00A44D56" w:rsidRDefault="00A44D56" w:rsidP="00A44D56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-12"/>
                <w:sz w:val="24"/>
                <w:szCs w:val="24"/>
              </w:rPr>
              <w:t>作  者</w:t>
            </w:r>
          </w:p>
          <w:p w14:paraId="39848335" w14:textId="77777777" w:rsidR="00A44D56" w:rsidRPr="00BD68CE" w:rsidRDefault="00A44D56" w:rsidP="00A44D56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18"/>
                <w:szCs w:val="18"/>
              </w:rPr>
            </w:pPr>
            <w:r w:rsidRPr="00BD68CE">
              <w:rPr>
                <w:rFonts w:ascii="华文中宋" w:eastAsia="华文中宋" w:hAnsi="华文中宋" w:cs="华文中宋" w:hint="eastAsia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 w14:paraId="2BAA622B" w14:textId="6827C510" w:rsidR="00A44D56" w:rsidRPr="00D97E75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276" w:type="dxa"/>
            <w:vAlign w:val="center"/>
          </w:tcPr>
          <w:p w14:paraId="4284E443" w14:textId="77777777" w:rsidR="00A44D56" w:rsidRDefault="00A44D56" w:rsidP="00A44D56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w w:val="95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 w14:paraId="7F35B39B" w14:textId="5A93B37A" w:rsidR="00A44D56" w:rsidRPr="00D97E75" w:rsidRDefault="0021291A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0C65F7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集体(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李颖、方震海、张蕊、刘慧娴、雷艳、李艳芝、张小莉、刘永恒、吕怡慧、廖朝明、李</w:t>
            </w:r>
            <w:r w:rsidRPr="00131B9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烝</w:t>
            </w:r>
            <w:r w:rsidRPr="000C65F7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)</w:t>
            </w:r>
          </w:p>
        </w:tc>
      </w:tr>
      <w:tr w:rsidR="00A44D56" w14:paraId="484F528E" w14:textId="77777777" w:rsidTr="002C792F">
        <w:trPr>
          <w:cantSplit/>
          <w:trHeight w:val="788"/>
          <w:jc w:val="center"/>
        </w:trPr>
        <w:tc>
          <w:tcPr>
            <w:tcW w:w="1313" w:type="dxa"/>
            <w:vAlign w:val="center"/>
          </w:tcPr>
          <w:p w14:paraId="6986E3BC" w14:textId="77777777" w:rsidR="00A44D56" w:rsidRDefault="00A44D56" w:rsidP="00A44D56">
            <w:pPr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 w14:paraId="76DB87FF" w14:textId="0BD61285" w:rsidR="00A44D56" w:rsidRPr="00D97E75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125B47">
              <w:rPr>
                <w:rFonts w:ascii="仿宋_GB2312" w:hAnsi="仿宋" w:cs="宋体" w:hint="eastAsia"/>
                <w:sz w:val="24"/>
                <w:szCs w:val="24"/>
              </w:rPr>
              <w:t>中国财政杂志社</w:t>
            </w:r>
          </w:p>
        </w:tc>
        <w:tc>
          <w:tcPr>
            <w:tcW w:w="1276" w:type="dxa"/>
            <w:vAlign w:val="center"/>
          </w:tcPr>
          <w:p w14:paraId="5EFD46A2" w14:textId="77777777" w:rsidR="00A44D56" w:rsidRDefault="00A44D56" w:rsidP="00A44D56"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 w14:paraId="358B9E94" w14:textId="27019D29" w:rsidR="00A44D56" w:rsidRPr="00D97E75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125B47">
              <w:rPr>
                <w:rFonts w:ascii="仿宋_GB2312" w:hAnsi="仿宋" w:cs="宋体" w:hint="eastAsia"/>
                <w:sz w:val="24"/>
                <w:szCs w:val="24"/>
              </w:rPr>
              <w:t>中国财政杂志社</w:t>
            </w:r>
          </w:p>
        </w:tc>
      </w:tr>
      <w:tr w:rsidR="00A44D56" w14:paraId="29E6B4A0" w14:textId="77777777" w:rsidTr="002C792F">
        <w:trPr>
          <w:cantSplit/>
          <w:trHeight w:hRule="exact" w:val="1109"/>
          <w:jc w:val="center"/>
        </w:trPr>
        <w:tc>
          <w:tcPr>
            <w:tcW w:w="1313" w:type="dxa"/>
            <w:vAlign w:val="center"/>
          </w:tcPr>
          <w:p w14:paraId="261EF3AB" w14:textId="77777777" w:rsidR="00A44D56" w:rsidRDefault="00A44D56" w:rsidP="00A44D56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 w14:paraId="0C76B80C" w14:textId="3564DFB9" w:rsidR="00A44D56" w:rsidRPr="00D97E75" w:rsidRDefault="0021291A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312FA8">
              <w:rPr>
                <w:rFonts w:ascii="仿宋_GB2312" w:hAnsi="仿宋" w:hint="eastAsia"/>
                <w:color w:val="000000"/>
                <w:sz w:val="24"/>
                <w:szCs w:val="24"/>
              </w:rPr>
              <w:t>《中国财政》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023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年第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4</w:t>
            </w:r>
            <w:r w:rsidRPr="00312FA8">
              <w:rPr>
                <w:rFonts w:ascii="仿宋_GB2312" w:hAnsi="仿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76" w:type="dxa"/>
            <w:vAlign w:val="center"/>
          </w:tcPr>
          <w:p w14:paraId="417F5E6E" w14:textId="77777777" w:rsidR="00A44D56" w:rsidRDefault="00A44D56" w:rsidP="00A44D56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 w14:paraId="6587E846" w14:textId="0F86C190" w:rsidR="00A44D56" w:rsidRDefault="009918C3" w:rsidP="00A44D56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_GB2312" w:eastAsia="仿宋" w:hAnsi="仿宋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eastAsia="仿宋" w:hAnsi="仿宋"/>
                <w:color w:val="000000"/>
                <w:sz w:val="21"/>
                <w:szCs w:val="21"/>
              </w:rPr>
              <w:t>023-2-25</w:t>
            </w:r>
          </w:p>
        </w:tc>
      </w:tr>
      <w:tr w:rsidR="00A44D56" w14:paraId="64957017" w14:textId="77777777" w:rsidTr="002C792F">
        <w:trPr>
          <w:cantSplit/>
          <w:trHeight w:hRule="exact" w:val="855"/>
          <w:jc w:val="center"/>
        </w:trPr>
        <w:tc>
          <w:tcPr>
            <w:tcW w:w="1313" w:type="dxa"/>
            <w:vAlign w:val="center"/>
          </w:tcPr>
          <w:p w14:paraId="12AC26E2" w14:textId="77777777" w:rsidR="00A44D56" w:rsidRDefault="00A44D56" w:rsidP="00A44D56"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 w14:paraId="2D643EE8" w14:textId="77777777" w:rsidR="00A44D56" w:rsidRDefault="0021291A" w:rsidP="00A44D56">
            <w:pPr>
              <w:spacing w:line="260" w:lineRule="exact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21291A">
              <w:rPr>
                <w:rFonts w:ascii="仿宋_GB2312" w:hAnsi="华文中宋" w:hint="eastAsia"/>
                <w:color w:val="000000"/>
                <w:sz w:val="24"/>
                <w:szCs w:val="24"/>
              </w:rPr>
              <w:t>“中国财政”微信平台</w:t>
            </w:r>
          </w:p>
          <w:p w14:paraId="715C6DE3" w14:textId="3C2D1577" w:rsidR="0021291A" w:rsidRPr="0021291A" w:rsidRDefault="0021291A" w:rsidP="00A44D56">
            <w:pPr>
              <w:spacing w:line="260" w:lineRule="exact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0C65F7">
              <w:rPr>
                <w:rFonts w:ascii="仿宋_GB2312" w:hAnsi="仿宋"/>
                <w:color w:val="000000"/>
                <w:sz w:val="24"/>
                <w:szCs w:val="24"/>
              </w:rPr>
              <w:t>ChinaStateFinance</w:t>
            </w:r>
          </w:p>
        </w:tc>
        <w:tc>
          <w:tcPr>
            <w:tcW w:w="1276" w:type="dxa"/>
            <w:vAlign w:val="center"/>
          </w:tcPr>
          <w:p w14:paraId="01F089BE" w14:textId="77777777" w:rsidR="00A44D56" w:rsidRDefault="00A44D56" w:rsidP="00A44D56">
            <w:pPr>
              <w:spacing w:line="260" w:lineRule="exact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 w14:paraId="03E0DD46" w14:textId="1B067753" w:rsidR="00A44D56" w:rsidRPr="004D61A1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44D56" w14:paraId="33D1E669" w14:textId="77777777" w:rsidTr="008F4798">
        <w:trPr>
          <w:cantSplit/>
          <w:trHeight w:val="2217"/>
          <w:jc w:val="center"/>
        </w:trPr>
        <w:tc>
          <w:tcPr>
            <w:tcW w:w="1313" w:type="dxa"/>
            <w:vAlign w:val="center"/>
          </w:tcPr>
          <w:p w14:paraId="53FA12E3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3BB378A4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作采</w:t>
            </w:r>
          </w:p>
          <w:p w14:paraId="6F27EDD0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品编</w:t>
            </w:r>
          </w:p>
          <w:p w14:paraId="69DB3447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简过</w:t>
            </w:r>
          </w:p>
          <w:p w14:paraId="19718167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介程</w:t>
            </w:r>
          </w:p>
          <w:p w14:paraId="327E1EB1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 w14:paraId="709589BC" w14:textId="166221ED" w:rsidR="00A44D56" w:rsidRDefault="0021291A" w:rsidP="00A2723F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/>
                <w:w w:val="95"/>
                <w:sz w:val="24"/>
                <w:szCs w:val="24"/>
              </w:rPr>
            </w:pPr>
            <w:r w:rsidRPr="00A1256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为做好全国两会宣传工作，中国财政杂志社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刊网微号融合联动，</w:t>
            </w:r>
            <w:r w:rsidRPr="00A1256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策划了“两会观察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cs="仿宋"/>
                <w:color w:val="000000"/>
                <w:sz w:val="24"/>
                <w:szCs w:val="24"/>
              </w:rPr>
              <w:t>023</w:t>
            </w:r>
            <w:r w:rsidRPr="00A1256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”系列评论，约请专家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从</w:t>
            </w:r>
            <w:r w:rsidRPr="00304D1B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提高财政资源配置效率，健全现代预算制度，优化税制结构，完善财政转移支付体系等方面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，</w:t>
            </w:r>
            <w:r w:rsidRPr="00304D1B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分析和展望2023年宏观经济形势及财政政策</w:t>
            </w:r>
            <w:r w:rsidRPr="00A1256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并请</w:t>
            </w:r>
            <w:r w:rsidRPr="00A1256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专家出镜亮相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录制视频</w:t>
            </w:r>
            <w:r w:rsidRPr="00A1256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。系列评论在杂志、微信公众号和视频号发布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后</w:t>
            </w:r>
            <w:r w:rsidRPr="00A1256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收到了热烈反响和积极评价，营造了良好舆论氛围。</w:t>
            </w:r>
          </w:p>
        </w:tc>
      </w:tr>
      <w:tr w:rsidR="00A44D56" w14:paraId="2B46FE89" w14:textId="77777777" w:rsidTr="008F4798">
        <w:trPr>
          <w:cantSplit/>
          <w:trHeight w:hRule="exact" w:val="2411"/>
          <w:jc w:val="center"/>
        </w:trPr>
        <w:tc>
          <w:tcPr>
            <w:tcW w:w="1313" w:type="dxa"/>
            <w:vAlign w:val="center"/>
          </w:tcPr>
          <w:p w14:paraId="16812064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社</w:t>
            </w:r>
          </w:p>
          <w:p w14:paraId="72C4526C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会</w:t>
            </w:r>
          </w:p>
          <w:p w14:paraId="709AFEFB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效</w:t>
            </w:r>
          </w:p>
          <w:p w14:paraId="0534C5DE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 w14:paraId="55BC138D" w14:textId="54A9C53B" w:rsidR="00A44D56" w:rsidRDefault="0021291A" w:rsidP="00A2723F">
            <w:pPr>
              <w:spacing w:line="2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A737D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“两会观察2</w:t>
            </w:r>
            <w:r w:rsidRPr="007A737D">
              <w:rPr>
                <w:rFonts w:ascii="仿宋_GB2312" w:hAnsi="仿宋" w:cs="仿宋"/>
                <w:color w:val="000000"/>
                <w:sz w:val="24"/>
                <w:szCs w:val="24"/>
              </w:rPr>
              <w:t>023</w:t>
            </w:r>
            <w:r w:rsidRPr="007A737D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”系列评论在杂志、微信公众号和视频号发布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后</w:t>
            </w:r>
            <w:r w:rsidRPr="007A737D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，收到了热烈反响和积极评价，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专家们对</w:t>
            </w:r>
            <w:r w:rsidRPr="00304D1B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2023年宏观经济形势及财政政策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的分析和展望使读者进一步坚定了对财政经济光明前景的信心，</w:t>
            </w:r>
            <w:r w:rsidRPr="007A737D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为两会营造了良好舆论氛围。</w:t>
            </w:r>
          </w:p>
        </w:tc>
      </w:tr>
      <w:tr w:rsidR="00A44D56" w14:paraId="690BB0FE" w14:textId="77777777" w:rsidTr="002C5F3A">
        <w:trPr>
          <w:cantSplit/>
          <w:trHeight w:hRule="exact" w:val="3607"/>
          <w:jc w:val="center"/>
        </w:trPr>
        <w:tc>
          <w:tcPr>
            <w:tcW w:w="1313" w:type="dxa"/>
            <w:vAlign w:val="center"/>
          </w:tcPr>
          <w:p w14:paraId="5D9FA057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4FD709E3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初推</w:t>
            </w:r>
          </w:p>
          <w:p w14:paraId="07A332F8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评荐</w:t>
            </w:r>
          </w:p>
          <w:p w14:paraId="1AE6FDFB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评理</w:t>
            </w:r>
          </w:p>
          <w:p w14:paraId="2AAA4E44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语由</w:t>
            </w:r>
          </w:p>
          <w:p w14:paraId="62895680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 w14:paraId="7D4EBDEF" w14:textId="0AFDD046" w:rsidR="00CB2B29" w:rsidRPr="00FB3844" w:rsidRDefault="00CB2B29" w:rsidP="00A2723F">
            <w:pPr>
              <w:spacing w:line="260" w:lineRule="exact"/>
              <w:ind w:firstLineChars="200"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B3844">
              <w:rPr>
                <w:rFonts w:ascii="仿宋_GB2312" w:hAnsi="仿宋" w:hint="eastAsia"/>
                <w:color w:val="000000"/>
                <w:sz w:val="24"/>
                <w:szCs w:val="24"/>
              </w:rPr>
              <w:t>该组评论以唱响财政经济光明论为主线进行精心策划，邀请权威专家</w:t>
            </w:r>
            <w:r w:rsidRPr="00FB3844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分析和展望2023年宏观经济形势及财政政策</w:t>
            </w:r>
            <w:r w:rsidRPr="00FB3844">
              <w:rPr>
                <w:rFonts w:ascii="仿宋_GB2312" w:hAnsi="仿宋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并</w:t>
            </w:r>
            <w:r w:rsidRPr="00FB3844">
              <w:rPr>
                <w:rFonts w:ascii="仿宋_GB2312" w:hAnsi="仿宋" w:hint="eastAsia"/>
                <w:color w:val="000000"/>
                <w:sz w:val="24"/>
                <w:szCs w:val="24"/>
              </w:rPr>
              <w:t>以文字和视频形式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展现，</w:t>
            </w:r>
            <w:r w:rsidRPr="00FB3844">
              <w:rPr>
                <w:rFonts w:ascii="仿宋_GB2312" w:hAnsi="仿宋" w:hint="eastAsia"/>
                <w:color w:val="000000"/>
                <w:sz w:val="24"/>
                <w:szCs w:val="24"/>
              </w:rPr>
              <w:t>通过杂志、微信公众号和视频号联动宣传，是财政宣传工作的有益探索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，</w:t>
            </w:r>
            <w:r w:rsidRPr="00FB3844">
              <w:rPr>
                <w:rFonts w:ascii="仿宋_GB2312" w:hAnsi="仿宋" w:hint="eastAsia"/>
                <w:color w:val="000000"/>
                <w:sz w:val="24"/>
                <w:szCs w:val="24"/>
              </w:rPr>
              <w:t>取得了良好宣传效果。</w:t>
            </w:r>
          </w:p>
          <w:p w14:paraId="2EEEAB08" w14:textId="50D97F59" w:rsidR="0021291A" w:rsidRPr="00CB2B29" w:rsidRDefault="0021291A" w:rsidP="00CB2B29">
            <w:pPr>
              <w:spacing w:line="360" w:lineRule="exact"/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</w:pPr>
          </w:p>
          <w:p w14:paraId="58A305CD" w14:textId="77777777" w:rsidR="006034D2" w:rsidRDefault="006034D2" w:rsidP="0021291A">
            <w:pPr>
              <w:spacing w:line="360" w:lineRule="exact"/>
              <w:ind w:firstLineChars="1800" w:firstLine="4248"/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</w:pPr>
          </w:p>
          <w:p w14:paraId="3F0351BC" w14:textId="24CF9E1A" w:rsidR="00A44D56" w:rsidRDefault="00A44D56" w:rsidP="006034D2">
            <w:pPr>
              <w:spacing w:line="360" w:lineRule="exact"/>
              <w:ind w:firstLineChars="1200" w:firstLine="2832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>签名：</w:t>
            </w:r>
            <w:r w:rsidR="006034D2"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</w:t>
            </w:r>
            <w:r w:rsidR="006034D2"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  <w:t xml:space="preserve">          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（盖单位公章）</w:t>
            </w:r>
          </w:p>
          <w:p w14:paraId="7D63644C" w14:textId="62FF3CE6" w:rsidR="00A44D56" w:rsidRDefault="00A44D56" w:rsidP="00A44D5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</w:t>
            </w:r>
            <w:r w:rsidR="006034D2">
              <w:rPr>
                <w:rFonts w:ascii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2024年 </w:t>
            </w:r>
            <w:r w:rsidR="006034D2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 </w:t>
            </w:r>
            <w:r w:rsidR="006034D2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798A02FA" w14:textId="77777777" w:rsidR="00194629" w:rsidRPr="00BD68CE" w:rsidRDefault="00194629"/>
    <w:sectPr w:rsidR="00194629" w:rsidRPr="00BD68CE" w:rsidSect="00BD68CE">
      <w:pgSz w:w="11906" w:h="16838"/>
      <w:pgMar w:top="306" w:right="312" w:bottom="306" w:left="2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5C3C" w14:textId="77777777" w:rsidR="005C7E0B" w:rsidRDefault="005C7E0B" w:rsidP="002C5F3A">
      <w:r>
        <w:separator/>
      </w:r>
    </w:p>
  </w:endnote>
  <w:endnote w:type="continuationSeparator" w:id="0">
    <w:p w14:paraId="06710714" w14:textId="77777777" w:rsidR="005C7E0B" w:rsidRDefault="005C7E0B" w:rsidP="002C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196CB" w14:textId="77777777" w:rsidR="005C7E0B" w:rsidRDefault="005C7E0B" w:rsidP="002C5F3A">
      <w:r>
        <w:separator/>
      </w:r>
    </w:p>
  </w:footnote>
  <w:footnote w:type="continuationSeparator" w:id="0">
    <w:p w14:paraId="06088CD0" w14:textId="77777777" w:rsidR="005C7E0B" w:rsidRDefault="005C7E0B" w:rsidP="002C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E"/>
    <w:rsid w:val="001230CB"/>
    <w:rsid w:val="00172563"/>
    <w:rsid w:val="00194629"/>
    <w:rsid w:val="0021291A"/>
    <w:rsid w:val="0024009C"/>
    <w:rsid w:val="002C5F3A"/>
    <w:rsid w:val="005C7E0B"/>
    <w:rsid w:val="006034D2"/>
    <w:rsid w:val="008F4798"/>
    <w:rsid w:val="009918C3"/>
    <w:rsid w:val="009C062E"/>
    <w:rsid w:val="00A2723F"/>
    <w:rsid w:val="00A44D56"/>
    <w:rsid w:val="00A752BE"/>
    <w:rsid w:val="00AC686E"/>
    <w:rsid w:val="00BD68CE"/>
    <w:rsid w:val="00C842D9"/>
    <w:rsid w:val="00C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35219"/>
  <w15:chartTrackingRefBased/>
  <w15:docId w15:val="{D79CEE4B-B560-4916-8C24-986BD35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C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F3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F3A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suncy</cp:lastModifiedBy>
  <cp:revision>10</cp:revision>
  <dcterms:created xsi:type="dcterms:W3CDTF">2023-05-16T03:25:00Z</dcterms:created>
  <dcterms:modified xsi:type="dcterms:W3CDTF">2024-03-12T02:33:00Z</dcterms:modified>
</cp:coreProperties>
</file>